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86" w:rsidRPr="005243AB" w:rsidRDefault="00234786" w:rsidP="005243AB">
      <w:r w:rsidRPr="005243AB">
        <w:t xml:space="preserve">Handout: </w:t>
      </w:r>
    </w:p>
    <w:p w:rsidR="00D46877" w:rsidRPr="00234786" w:rsidRDefault="00234786" w:rsidP="00253E02">
      <w:pPr>
        <w:pStyle w:val="Rubrik1"/>
        <w:jc w:val="center"/>
      </w:pPr>
      <w:r w:rsidRPr="00234786">
        <w:rPr>
          <w:noProof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6A7A1D" wp14:editId="6EDBADBB">
                <wp:simplePos x="0" y="0"/>
                <wp:positionH relativeFrom="column">
                  <wp:posOffset>3618865</wp:posOffset>
                </wp:positionH>
                <wp:positionV relativeFrom="paragraph">
                  <wp:posOffset>324485</wp:posOffset>
                </wp:positionV>
                <wp:extent cx="883920" cy="198120"/>
                <wp:effectExtent l="0" t="0" r="11430" b="1143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ktangel 1" o:spid="_x0000_s1026" style="position:absolute;margin-left:284.95pt;margin-top:25.55pt;width:69.6pt;height:15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KfbwIAACwFAAAOAAAAZHJzL2Uyb0RvYy54bWysVEtPGzEQvlfqf7B8L5tNoQ0RGxSBqCoh&#10;QEDF2Xjt7Arb446dbNJf37F3szxKL1VzcMae9zff7Mnp1hq2URhacBUvDyacKSehbt2q4j/uLz7N&#10;OAtRuFoYcKriOxX46eLjh5POz9UUGjC1QkZBXJh3vuJNjH5eFEE2yopwAF45UmpAKyJdcVXUKDqK&#10;bk0xnUy+FB1g7RGkCoFez3slX+T4WisZr7UOKjJTcaot5hPz+ZjOYnEi5isUvmnlUIb4hyqsaB0l&#10;HUOdiyjYGts/QtlWIgTQ8UCCLUDrVqrcA3VTTt50c9cIr3IvBE7wI0zh/4WVV5sbZG1Ns+PMCUsj&#10;ulVPNLCVMqxM8HQ+zMnqzt/gcAskpl63Gm36py7YNkO6GyFV28gkPc5mn4+nBLwkVXk8K0mmKMWz&#10;s8cQvymwLAkVR5pYBlJsLkPsTfcm5JeK6dNnKe6MShUYd6s0dUEJp9k780edGWQbQZOvn8r+uRG1&#10;6p+OJvQbahmtc2U5WIqqW2PGuEOAxMvXcfsaB9vkpjLtRsfJ3wrqHUfrnBFcHB1t6wDfczYxD4ZA&#10;1L39HpgejoTMI9Q7mitCT/jg5UVL+F6KEG8EEsNpJLS18ZoObaCrOAwSZw3gr/fekz0Rj7ScdbQx&#10;FQ8/1wIVZ+a7I0oel4eHacXy5fDoaxo7vtQ8vtS4tT0DGg3RjqrLYrKPZi9qBPtAy71MWUklnKTc&#10;FZcR95ez2G8yfR6kWi6zGa2VF/HS3XmZgidUE3/utw8C/UCySOy8gv12ifkbrvW2ydPBch1Bt5mI&#10;z7gOeNNKZsIMn4+08y/v2er5I7f4DQAA//8DAFBLAwQUAAYACAAAACEAxODIW98AAAAJAQAADwAA&#10;AGRycy9kb3ducmV2LnhtbEyPwU7DMAyG70i8Q2QkbixpgbKWphNCAnFCYmwHblnjtYXG6ZqsK2+P&#10;OcHtt/zp9+dyNbteTDiGzpOGZKFAINXedtRo2Lw/XS1BhGjImt4TavjGAKvq/Kw0hfUnesNpHRvB&#10;JRQKo6GNcSikDHWLzoSFH5B4t/ejM5HHsZF2NCcud71MlcqkMx3xhdYM+Nhi/bU+Og35J+0/1Pb5&#10;kG7cdDO8HMzrtsu0vryYH+5BRJzjHwy/+qwOFTvt/JFsEL2G2yzPGeWQJCAYuFM5h52GZXoNsirl&#10;/w+qHwAAAP//AwBQSwECLQAUAAYACAAAACEAtoM4kv4AAADhAQAAEwAAAAAAAAAAAAAAAAAAAAAA&#10;W0NvbnRlbnRfVHlwZXNdLnhtbFBLAQItABQABgAIAAAAIQA4/SH/1gAAAJQBAAALAAAAAAAAAAAA&#10;AAAAAC8BAABfcmVscy8ucmVsc1BLAQItABQABgAIAAAAIQBKzEKfbwIAACwFAAAOAAAAAAAAAAAA&#10;AAAAAC4CAABkcnMvZTJvRG9jLnhtbFBLAQItABQABgAIAAAAIQDE4Mhb3wAAAAkBAAAPAAAAAAAA&#10;AAAAAAAAAMkEAABkcnMvZG93bnJldi54bWxQSwUGAAAAAAQABADzAAAA1QUAAAAA&#10;" fillcolor="black [3200]" strokecolor="black [1600]" strokeweight="2pt"/>
            </w:pict>
          </mc:Fallback>
        </mc:AlternateContent>
      </w:r>
      <w:r w:rsidRPr="00234786">
        <w:t xml:space="preserve">I’ve been asked to translate   </w:t>
      </w:r>
      <w:r w:rsidRPr="00234786">
        <w:rPr>
          <w:color w:val="FFFFFF" w:themeColor="background1"/>
        </w:rPr>
        <w:t xml:space="preserve">subtitles  </w:t>
      </w:r>
      <w:r w:rsidR="00253E02">
        <w:rPr>
          <w:color w:val="FFFFFF" w:themeColor="background1"/>
        </w:rPr>
        <w:br/>
      </w:r>
      <w:r w:rsidRPr="00234786">
        <w:t xml:space="preserve">—what do I need to </w:t>
      </w:r>
      <w:r w:rsidR="00253E02">
        <w:t>think about</w:t>
      </w:r>
      <w:r w:rsidRPr="00234786">
        <w:t>?</w:t>
      </w:r>
      <w:bookmarkStart w:id="0" w:name="_GoBack"/>
      <w:bookmarkEnd w:id="0"/>
    </w:p>
    <w:p w:rsidR="00234786" w:rsidRPr="00234786" w:rsidRDefault="00234786" w:rsidP="005243AB"/>
    <w:tbl>
      <w:tblPr>
        <w:tblStyle w:val="Tabellrutnt"/>
        <w:tblW w:w="9747" w:type="dxa"/>
        <w:tblLook w:val="04A0" w:firstRow="1" w:lastRow="0" w:firstColumn="1" w:lastColumn="0" w:noHBand="0" w:noVBand="1"/>
      </w:tblPr>
      <w:tblGrid>
        <w:gridCol w:w="3369"/>
        <w:gridCol w:w="3369"/>
        <w:gridCol w:w="3009"/>
      </w:tblGrid>
      <w:tr w:rsidR="005243AB" w:rsidRPr="00985220" w:rsidTr="001E7E1A">
        <w:tc>
          <w:tcPr>
            <w:tcW w:w="3369" w:type="dxa"/>
          </w:tcPr>
          <w:p w:rsidR="005243AB" w:rsidRPr="00985220" w:rsidRDefault="005243AB" w:rsidP="001E7E1A">
            <w:pPr>
              <w:rPr>
                <w:b/>
              </w:rPr>
            </w:pPr>
            <w:r w:rsidRPr="00985220">
              <w:rPr>
                <w:b/>
              </w:rPr>
              <w:t>Basics of subtitling</w:t>
            </w:r>
          </w:p>
        </w:tc>
        <w:tc>
          <w:tcPr>
            <w:tcW w:w="3369" w:type="dxa"/>
          </w:tcPr>
          <w:p w:rsidR="005243AB" w:rsidRPr="00985220" w:rsidRDefault="005243AB" w:rsidP="001E7E1A">
            <w:pPr>
              <w:rPr>
                <w:b/>
              </w:rPr>
            </w:pPr>
            <w:r w:rsidRPr="00985220">
              <w:rPr>
                <w:b/>
              </w:rPr>
              <w:t>Keys to quality</w:t>
            </w:r>
          </w:p>
        </w:tc>
        <w:tc>
          <w:tcPr>
            <w:tcW w:w="3009" w:type="dxa"/>
          </w:tcPr>
          <w:p w:rsidR="005243AB" w:rsidRPr="00985220" w:rsidRDefault="005243AB" w:rsidP="001E7E1A">
            <w:pPr>
              <w:rPr>
                <w:b/>
              </w:rPr>
            </w:pPr>
            <w:r w:rsidRPr="00985220">
              <w:rPr>
                <w:b/>
              </w:rPr>
              <w:t>Advanced</w:t>
            </w:r>
          </w:p>
        </w:tc>
      </w:tr>
      <w:tr w:rsidR="005243AB" w:rsidRPr="00985220" w:rsidTr="001E7E1A">
        <w:tc>
          <w:tcPr>
            <w:tcW w:w="3369" w:type="dxa"/>
          </w:tcPr>
          <w:p w:rsidR="005243AB" w:rsidRPr="00985220" w:rsidRDefault="005243AB" w:rsidP="001E7E1A">
            <w:pPr>
              <w:ind w:left="993" w:hanging="993"/>
            </w:pPr>
            <w:r w:rsidRPr="002402BF">
              <w:rPr>
                <w:b/>
              </w:rPr>
              <w:t>Correct</w:t>
            </w:r>
            <w:r w:rsidRPr="00985220">
              <w:t xml:space="preserve"> </w:t>
            </w:r>
            <w:r w:rsidRPr="00985220">
              <w:br/>
            </w:r>
            <w:r w:rsidRPr="002402BF">
              <w:rPr>
                <w:color w:val="C00000"/>
              </w:rPr>
              <w:t xml:space="preserve">Accurate content </w:t>
            </w:r>
            <w:r w:rsidRPr="002402BF">
              <w:rPr>
                <w:color w:val="C00000"/>
              </w:rPr>
              <w:br/>
              <w:t xml:space="preserve">idiomatic language </w:t>
            </w:r>
          </w:p>
        </w:tc>
        <w:tc>
          <w:tcPr>
            <w:tcW w:w="3369" w:type="dxa"/>
          </w:tcPr>
          <w:p w:rsidR="005243AB" w:rsidRPr="00985220" w:rsidRDefault="005243AB" w:rsidP="001E7E1A">
            <w:pPr>
              <w:ind w:left="600" w:hanging="567"/>
            </w:pPr>
            <w:r w:rsidRPr="008C20DF">
              <w:rPr>
                <w:b/>
              </w:rPr>
              <w:t>Clarity</w:t>
            </w:r>
            <w:r w:rsidRPr="00985220">
              <w:t xml:space="preserve"> </w:t>
            </w:r>
            <w:r w:rsidRPr="00985220">
              <w:br/>
            </w:r>
            <w:r w:rsidRPr="00C64905">
              <w:rPr>
                <w:color w:val="C00000"/>
              </w:rPr>
              <w:t xml:space="preserve">Eliminate filler words, flubs, repetitions, </w:t>
            </w:r>
            <w:r w:rsidRPr="00C64905">
              <w:rPr>
                <w:color w:val="C00000"/>
              </w:rPr>
              <w:br/>
              <w:t>false starts</w:t>
            </w:r>
          </w:p>
        </w:tc>
        <w:tc>
          <w:tcPr>
            <w:tcW w:w="3009" w:type="dxa"/>
            <w:vMerge w:val="restart"/>
          </w:tcPr>
          <w:p w:rsidR="005243AB" w:rsidRDefault="005243AB" w:rsidP="001E7E1A">
            <w:pPr>
              <w:ind w:left="350" w:hanging="350"/>
              <w:rPr>
                <w:color w:val="C00000"/>
              </w:rPr>
            </w:pPr>
            <w:r w:rsidRPr="000639C3">
              <w:rPr>
                <w:b/>
              </w:rPr>
              <w:t>Logical units</w:t>
            </w:r>
            <w:r w:rsidRPr="00985220">
              <w:br/>
            </w:r>
            <w:r w:rsidRPr="009C2A1D">
              <w:rPr>
                <w:color w:val="C00000"/>
              </w:rPr>
              <w:t>Complete sentences, complete phrases.</w:t>
            </w:r>
            <w:r w:rsidRPr="009C2A1D">
              <w:rPr>
                <w:color w:val="C00000"/>
              </w:rPr>
              <w:br/>
            </w:r>
            <w:r w:rsidRPr="009C2A1D">
              <w:rPr>
                <w:color w:val="C00000"/>
              </w:rPr>
              <w:br/>
              <w:t xml:space="preserve">Wherever possible, </w:t>
            </w:r>
            <w:r w:rsidRPr="009C2A1D">
              <w:rPr>
                <w:color w:val="C00000"/>
              </w:rPr>
              <w:br/>
              <w:t xml:space="preserve">keep full phrases  </w:t>
            </w:r>
            <w:r w:rsidRPr="009C2A1D">
              <w:rPr>
                <w:color w:val="C00000"/>
              </w:rPr>
              <w:br/>
              <w:t>on the same line</w:t>
            </w:r>
            <w:r>
              <w:rPr>
                <w:color w:val="C00000"/>
              </w:rPr>
              <w:t>*</w:t>
            </w:r>
          </w:p>
          <w:p w:rsidR="005243AB" w:rsidRPr="00A8790F" w:rsidRDefault="005243AB" w:rsidP="001E7E1A">
            <w:pPr>
              <w:ind w:left="350" w:hanging="350"/>
            </w:pPr>
          </w:p>
          <w:p w:rsidR="005243AB" w:rsidRDefault="005243AB" w:rsidP="001E7E1A">
            <w:pPr>
              <w:ind w:left="350" w:hanging="350"/>
            </w:pPr>
            <w:r w:rsidRPr="00A8790F">
              <w:t>* (not always possible)</w:t>
            </w:r>
          </w:p>
          <w:p w:rsidR="005243AB" w:rsidRPr="00985220" w:rsidRDefault="005243AB" w:rsidP="001E7E1A">
            <w:pPr>
              <w:ind w:left="350" w:hanging="350"/>
            </w:pPr>
          </w:p>
        </w:tc>
      </w:tr>
      <w:tr w:rsidR="005243AB" w:rsidRPr="00985220" w:rsidTr="001E7E1A">
        <w:tc>
          <w:tcPr>
            <w:tcW w:w="3369" w:type="dxa"/>
          </w:tcPr>
          <w:p w:rsidR="005243AB" w:rsidRPr="00985220" w:rsidRDefault="005243AB" w:rsidP="001E7E1A">
            <w:pPr>
              <w:ind w:left="993" w:hanging="993"/>
            </w:pPr>
            <w:r w:rsidRPr="002402BF">
              <w:rPr>
                <w:b/>
              </w:rPr>
              <w:t>Subtitle length</w:t>
            </w:r>
            <w:r w:rsidRPr="00985220">
              <w:br/>
            </w:r>
            <w:r w:rsidRPr="003E3E45">
              <w:rPr>
                <w:color w:val="C00000"/>
              </w:rPr>
              <w:t>2 lines</w:t>
            </w:r>
            <w:r>
              <w:rPr>
                <w:color w:val="C00000"/>
              </w:rPr>
              <w:br/>
              <w:t>37–</w:t>
            </w:r>
            <w:r w:rsidRPr="002402BF">
              <w:rPr>
                <w:color w:val="C00000"/>
              </w:rPr>
              <w:t>42 keystrokes</w:t>
            </w:r>
            <w:r w:rsidRPr="002402BF">
              <w:rPr>
                <w:color w:val="C00000"/>
              </w:rPr>
              <w:br/>
              <w:t>= chars with spaces</w:t>
            </w:r>
          </w:p>
        </w:tc>
        <w:tc>
          <w:tcPr>
            <w:tcW w:w="3369" w:type="dxa"/>
          </w:tcPr>
          <w:p w:rsidR="005243AB" w:rsidRPr="00985220" w:rsidRDefault="005243AB" w:rsidP="001E7E1A">
            <w:pPr>
              <w:ind w:left="600" w:hanging="600"/>
            </w:pPr>
            <w:r w:rsidRPr="008C20DF">
              <w:rPr>
                <w:b/>
              </w:rPr>
              <w:t>Condense naturally</w:t>
            </w:r>
            <w:r>
              <w:br/>
            </w:r>
            <w:r w:rsidRPr="00C64905">
              <w:rPr>
                <w:color w:val="C00000"/>
              </w:rPr>
              <w:t>Shorter phrases/words</w:t>
            </w:r>
            <w:r w:rsidRPr="00C64905">
              <w:rPr>
                <w:color w:val="C00000"/>
              </w:rPr>
              <w:br/>
              <w:t>Eliminate nonessentials</w:t>
            </w:r>
          </w:p>
        </w:tc>
        <w:tc>
          <w:tcPr>
            <w:tcW w:w="3009" w:type="dxa"/>
            <w:vMerge/>
          </w:tcPr>
          <w:p w:rsidR="005243AB" w:rsidRPr="00985220" w:rsidRDefault="005243AB" w:rsidP="001E7E1A"/>
        </w:tc>
      </w:tr>
      <w:tr w:rsidR="005243AB" w:rsidRPr="00985220" w:rsidTr="001E7E1A">
        <w:tc>
          <w:tcPr>
            <w:tcW w:w="3369" w:type="dxa"/>
          </w:tcPr>
          <w:p w:rsidR="005243AB" w:rsidRPr="00985220" w:rsidRDefault="005243AB" w:rsidP="001E7E1A">
            <w:pPr>
              <w:ind w:left="993" w:hanging="993"/>
            </w:pPr>
            <w:r w:rsidRPr="00FC5423">
              <w:rPr>
                <w:b/>
              </w:rPr>
              <w:t>Timing</w:t>
            </w:r>
            <w:r w:rsidRPr="00985220">
              <w:br/>
            </w:r>
            <w:r w:rsidRPr="00D10072">
              <w:rPr>
                <w:color w:val="C00000"/>
              </w:rPr>
              <w:t>1 short line: 1.5–2 sec</w:t>
            </w:r>
            <w:r w:rsidRPr="00D10072">
              <w:rPr>
                <w:color w:val="C00000"/>
              </w:rPr>
              <w:br/>
              <w:t>1 full line: 3 sec</w:t>
            </w:r>
            <w:r w:rsidRPr="00D10072">
              <w:rPr>
                <w:color w:val="C00000"/>
              </w:rPr>
              <w:br/>
              <w:t>2 full lines: 5–6 sec</w:t>
            </w:r>
          </w:p>
        </w:tc>
        <w:tc>
          <w:tcPr>
            <w:tcW w:w="3369" w:type="dxa"/>
          </w:tcPr>
          <w:p w:rsidR="005243AB" w:rsidRPr="00985220" w:rsidRDefault="005243AB" w:rsidP="001E7E1A">
            <w:pPr>
              <w:ind w:left="600" w:hanging="600"/>
            </w:pPr>
            <w:r>
              <w:rPr>
                <w:b/>
              </w:rPr>
              <w:t>Scene change</w:t>
            </w:r>
            <w:r>
              <w:br/>
            </w:r>
            <w:r>
              <w:rPr>
                <w:color w:val="C00000"/>
              </w:rPr>
              <w:t>Never let subtitles</w:t>
            </w:r>
            <w:r>
              <w:rPr>
                <w:color w:val="C00000"/>
              </w:rPr>
              <w:br/>
              <w:t>run across scene changes</w:t>
            </w:r>
          </w:p>
        </w:tc>
        <w:tc>
          <w:tcPr>
            <w:tcW w:w="3009" w:type="dxa"/>
          </w:tcPr>
          <w:p w:rsidR="005243AB" w:rsidRPr="00985220" w:rsidRDefault="005243AB" w:rsidP="001E7E1A">
            <w:pPr>
              <w:ind w:left="350" w:hanging="350"/>
            </w:pPr>
            <w:r w:rsidRPr="006368F8">
              <w:rPr>
                <w:b/>
              </w:rPr>
              <w:t>Timing between subtitles</w:t>
            </w:r>
            <w:r w:rsidRPr="00985220">
              <w:br/>
            </w:r>
            <w:r w:rsidRPr="00512DBD">
              <w:rPr>
                <w:color w:val="C00000"/>
              </w:rPr>
              <w:t xml:space="preserve">2–4 frames between subtitles </w:t>
            </w:r>
            <w:r w:rsidRPr="00512DBD">
              <w:rPr>
                <w:b/>
                <w:color w:val="C00000"/>
              </w:rPr>
              <w:t>unless</w:t>
            </w:r>
            <w:r w:rsidRPr="00512DBD">
              <w:rPr>
                <w:color w:val="C00000"/>
              </w:rPr>
              <w:t xml:space="preserve"> at least 1 sec pause in speech</w:t>
            </w:r>
          </w:p>
        </w:tc>
      </w:tr>
    </w:tbl>
    <w:p w:rsidR="00234786" w:rsidRPr="00234786" w:rsidRDefault="00234786" w:rsidP="005243AB"/>
    <w:p w:rsidR="00234786" w:rsidRPr="00234786" w:rsidRDefault="00234786" w:rsidP="005243AB"/>
    <w:p w:rsidR="00234786" w:rsidRPr="005243AB" w:rsidRDefault="005243AB" w:rsidP="005243AB">
      <w:r>
        <w:t>Medietextarna—</w:t>
      </w:r>
      <w:r w:rsidR="00234786" w:rsidRPr="00234786">
        <w:t xml:space="preserve">subtitlers’ branch of Journalistförbudet – has published guidelines for </w:t>
      </w:r>
      <w:r w:rsidR="00234786" w:rsidRPr="005243AB">
        <w:t>subtitling in Sweden.</w:t>
      </w:r>
    </w:p>
    <w:p w:rsidR="00234786" w:rsidRDefault="00234786" w:rsidP="005243AB"/>
    <w:p w:rsidR="00234786" w:rsidRPr="00985220" w:rsidRDefault="00234786" w:rsidP="005243AB">
      <w:hyperlink r:id="rId6" w:history="1">
        <w:r w:rsidRPr="00F373BA">
          <w:rPr>
            <w:rStyle w:val="Hyperlnk"/>
          </w:rPr>
          <w:t>https://www.medietextarna.se/wp-content/uploads/2020/03/Riktlinjer-för-undertextning-i-Sverige-1-2020.pdf</w:t>
        </w:r>
      </w:hyperlink>
    </w:p>
    <w:p w:rsidR="00234786" w:rsidRPr="00234786" w:rsidRDefault="00234786" w:rsidP="005243AB"/>
    <w:sectPr w:rsidR="00234786" w:rsidRPr="00234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21D"/>
    <w:multiLevelType w:val="hybridMultilevel"/>
    <w:tmpl w:val="2C5409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86"/>
    <w:rsid w:val="00010ED5"/>
    <w:rsid w:val="00234786"/>
    <w:rsid w:val="00253E02"/>
    <w:rsid w:val="002D1623"/>
    <w:rsid w:val="005243AB"/>
    <w:rsid w:val="00672299"/>
    <w:rsid w:val="00BA6B86"/>
    <w:rsid w:val="00C203D7"/>
    <w:rsid w:val="00C23E9D"/>
    <w:rsid w:val="00C63748"/>
    <w:rsid w:val="00D35870"/>
    <w:rsid w:val="00EA5A4C"/>
    <w:rsid w:val="00F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AB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34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4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23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stycke">
    <w:name w:val="List Paragraph"/>
    <w:basedOn w:val="Normal"/>
    <w:uiPriority w:val="34"/>
    <w:qFormat/>
    <w:rsid w:val="0023478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4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AB"/>
    <w:rPr>
      <w:sz w:val="24"/>
      <w:szCs w:val="24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347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347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2347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stycke">
    <w:name w:val="List Paragraph"/>
    <w:basedOn w:val="Normal"/>
    <w:uiPriority w:val="34"/>
    <w:qFormat/>
    <w:rsid w:val="0023478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34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etextarna.se/wp-content/uploads/2020/03/Riktlinjer-f&#246;r-undertextning-i-Sverige-1-2020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Translator</dc:creator>
  <cp:lastModifiedBy>Translator</cp:lastModifiedBy>
  <cp:revision>3</cp:revision>
  <dcterms:created xsi:type="dcterms:W3CDTF">2020-11-12T22:44:00Z</dcterms:created>
  <dcterms:modified xsi:type="dcterms:W3CDTF">2020-11-12T22:58:00Z</dcterms:modified>
</cp:coreProperties>
</file>